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7C845" w14:textId="77777777" w:rsidR="005747F9" w:rsidRPr="004623AF" w:rsidRDefault="00000000">
      <w:pPr>
        <w:jc w:val="center"/>
        <w:rPr>
          <w:lang w:val="ru-RU"/>
        </w:rPr>
      </w:pPr>
      <w:r w:rsidRPr="004623AF">
        <w:rPr>
          <w:b/>
          <w:lang w:val="ru-RU"/>
        </w:rPr>
        <w:t>ПОЯСНИТЕЛЬНАЯ ЗАПИСКА</w:t>
      </w:r>
    </w:p>
    <w:p w14:paraId="600AF36E" w14:textId="77777777" w:rsidR="005747F9" w:rsidRPr="004623AF" w:rsidRDefault="00000000">
      <w:pPr>
        <w:jc w:val="center"/>
        <w:rPr>
          <w:lang w:val="ru-RU"/>
        </w:rPr>
      </w:pPr>
      <w:r w:rsidRPr="004623AF">
        <w:rPr>
          <w:lang w:val="ru-RU"/>
        </w:rPr>
        <w:t>к коробочному решению «Переход от реактивного к предиктивному управлению содержанием объектов ЖКХ на основе данных»</w:t>
      </w:r>
    </w:p>
    <w:p w14:paraId="1F29A040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1. Назначение документа.</w:t>
      </w:r>
    </w:p>
    <w:p w14:paraId="1AF57033" w14:textId="433F295B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Пояснительная записка подготовлена к финальной версии коробочного решения 22-КР-01-26 «</w:t>
      </w:r>
      <w:r w:rsidR="004623AF" w:rsidRPr="004623AF">
        <w:rPr>
          <w:lang w:val="ru-RU"/>
        </w:rPr>
        <w:t xml:space="preserve"> </w:t>
      </w:r>
      <w:r w:rsidR="004623AF" w:rsidRPr="004623AF">
        <w:rPr>
          <w:lang w:val="ru-RU"/>
        </w:rPr>
        <w:t>Переход от реактивного к предиктивному управлению содержанием объектов ЖКХ на основе данных</w:t>
      </w:r>
      <w:r w:rsidR="004623AF" w:rsidRPr="004623AF">
        <w:rPr>
          <w:lang w:val="ru-RU"/>
        </w:rPr>
        <w:t xml:space="preserve"> </w:t>
      </w:r>
      <w:r w:rsidRPr="004623AF">
        <w:rPr>
          <w:lang w:val="ru-RU"/>
        </w:rPr>
        <w:t>». Коробочное решение разработано в соответствии с методическими рекомендациями по разработке и утверждению лучших практик и коробочных решений отраслевого центра компетенций производительности труда в ЖКХ Минстроя России.</w:t>
      </w:r>
    </w:p>
    <w:p w14:paraId="54DE09CD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Документ предназначен для методического обеспечения перехода организаций ЖКХ от реактивной модели управления — «управления по жалобам и авариям» — к планово-предупредительной модели на основе данных. В финальную версию включены описание типовой технологии работы с процессом содержания объектов ЖКХ, диагностические инструменты, требования к целевому состоянию процесса, порядок подготовки и внедрения единого цифрового контура управления, методика расчёта экономического эффекта и комплект приложений по двум маршрутам применения.</w:t>
      </w:r>
    </w:p>
    <w:p w14:paraId="652ADCEE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2. Область применения.</w:t>
      </w:r>
    </w:p>
    <w:p w14:paraId="386A8009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Коробочное решение применяется управляющими и обслуживающими организациями для повышения операционной эффективности, снижения издержек и роста производительности труда; органами государственной и муниципальной власти — для объективного контроля и мониторинга состояния объектов ЖКХ на подведомственной территории; малыми управляющими компаниями — для самостоятельной диагностики и внедрения малозатратных улучшений до принятия решения о приобретении программного обеспечения.</w:t>
      </w:r>
    </w:p>
    <w:p w14:paraId="68BEB07C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rFonts w:cs="Times New Roman"/>
          <w:lang w:val="ru-RU"/>
        </w:rPr>
        <w:t>Данная группа предприятий включает:</w:t>
      </w:r>
    </w:p>
    <w:p w14:paraId="76856F5E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rFonts w:cs="Times New Roman"/>
          <w:lang w:val="ru-RU"/>
        </w:rPr>
        <w:t>68.32 — Управление недвижимым имуществом за вознаграждение или на договорной основе (управляющие компании, ТСЖ);</w:t>
      </w:r>
    </w:p>
    <w:p w14:paraId="780E5FAF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rFonts w:cs="Times New Roman"/>
          <w:lang w:val="ru-RU"/>
        </w:rPr>
        <w:t>81.10 — Деятельность по комплексному обслуживанию помещений (клининговые и эксплуатационные организации);</w:t>
      </w:r>
    </w:p>
    <w:p w14:paraId="5A79A433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rFonts w:cs="Times New Roman"/>
          <w:lang w:val="ru-RU"/>
        </w:rPr>
        <w:t>81.22 — Деятельность по чистке и уборке жилого фонда и нежилых помещений;</w:t>
      </w:r>
    </w:p>
    <w:p w14:paraId="079D1A76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rFonts w:cs="Times New Roman"/>
          <w:lang w:val="ru-RU"/>
        </w:rPr>
        <w:t xml:space="preserve">84.11.21 — Деятельность органов государственной власти субъектов Российской Федерации (республик, краев, областей), кроме судебной власти, </w:t>
      </w:r>
      <w:r w:rsidRPr="004623AF">
        <w:rPr>
          <w:rFonts w:cs="Times New Roman"/>
          <w:lang w:val="ru-RU"/>
        </w:rPr>
        <w:lastRenderedPageBreak/>
        <w:t>представительств исполнительных органов государственной власти субъектов Российской Федерации при Президенте Российской Федерации.</w:t>
      </w:r>
    </w:p>
    <w:p w14:paraId="310CE3DB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3. Актуальность проблемы.</w:t>
      </w:r>
    </w:p>
    <w:p w14:paraId="568E0ADE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В отрасли ЖКХ сохраняется преобладание реактивной модели управления: работы часто запускаются после жалобы, аварии или внешнего запроса. Это приводит к пропускам планово-предупредительных работ, низкой исполнительской дисциплине, высоким трудозатратам на ручную отчётность, информационной непрозрачности для жителей и органов власти, а также к конфликтам между участниками рынка.</w:t>
      </w:r>
    </w:p>
    <w:p w14:paraId="2243DD56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Финальная версия коробочного решения отдельно учитывает, что наиболее значимые операционные потери возникают в сегменте технического обслуживания и эксплуатации объектов. Именно в этом сегменте формируется базовая стоимость содержания общего имущества, поэтому цифровизация должна затрагивать не только учёт или оплату, а основной производственный процесс: планирование, исполнение, контроль, отчётность и информирование.</w:t>
      </w:r>
    </w:p>
    <w:p w14:paraId="208EFB4B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4. Предлагаемое решение.</w:t>
      </w:r>
    </w:p>
    <w:p w14:paraId="284B37ED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Предлагается внедрение единого цифрового контура управления ЖКХ — связанной системы процессов, данных и цифровых инструментов, в которой планирование работ, назначение задач, выполнение, фотофиксация, контроль сроков, информирование жителей и органов власти, а также аналитика показателей ведутся в единой логике и на основе проверяемых данных.</w:t>
      </w:r>
    </w:p>
    <w:p w14:paraId="68AD441B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Единый цифровой контур объединяет три группы участников:</w:t>
      </w:r>
    </w:p>
    <w:p w14:paraId="5A1AA4D0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управляющую организацию: цифровой паспорт объекта, технологические карты ППР, цифровые задания исполнителям, чек-листы, фотофиксация, отчётность и аналитика по исполнителям и системам объекта;</w:t>
      </w:r>
    </w:p>
    <w:p w14:paraId="4B3193B5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орган власти: мониторинг состояния объектов, контроль подготовки к отопительному периоду, аналитика по территориям, управляющим организациям и конкретным объектам;</w:t>
      </w:r>
    </w:p>
    <w:p w14:paraId="47FC5FEB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жителя: доступ к планам и фактам выполненных работ, сведениям о состоянии элементов объекта и каналу обратной связи.</w:t>
      </w:r>
    </w:p>
    <w:p w14:paraId="37F89A0E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В финальной версии предусмотрены два маршрута применения:</w:t>
      </w:r>
    </w:p>
    <w:p w14:paraId="573AE333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маршрут Б — самостоятельная диагностика процесса перед принятием решения о внедрении программного обеспечения;</w:t>
      </w:r>
    </w:p>
    <w:p w14:paraId="092B0CBF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маршрут А — внедрение единого цифрового контура управления ЖКХ при участии разработчика или поставщика программного обеспечения.</w:t>
      </w:r>
    </w:p>
    <w:p w14:paraId="5394C078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lastRenderedPageBreak/>
        <w:t xml:space="preserve">Маршрут Б может использоваться как самостоятельный способ выявления потерь и подготовки управленческого решения. При переходе к цифровизации результаты маршрута Б становятся входными данными для маршрута А: выбранный процесс, подтверждённые потери, базовые показатели, целевое состояние и план мероприятий используются для настройки </w:t>
      </w:r>
      <w:r>
        <w:t>KPI</w:t>
      </w:r>
      <w:r w:rsidRPr="004623AF">
        <w:rPr>
          <w:lang w:val="ru-RU"/>
        </w:rPr>
        <w:t>, выбора пилотной зоны и расчёта ожидаемого эффекта.</w:t>
      </w:r>
    </w:p>
    <w:p w14:paraId="0CA8A792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5. Ключевые результаты внедрения.</w:t>
      </w:r>
    </w:p>
    <w:p w14:paraId="3D3135B3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Достижимость эффектов подтверждена данными трёх управляющих компаний за период от 6 до 12 месяцев, а также расчётами для управляющей организации и органа власти:</w:t>
      </w:r>
    </w:p>
    <w:p w14:paraId="23E5ED92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рост исполнительской дисциплины по ППР с 40–50 % до 85–95 %;</w:t>
      </w:r>
    </w:p>
    <w:p w14:paraId="46D7AFD6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сокращение трудозатрат административно-управленческого персонала на 60–70 %;</w:t>
      </w:r>
    </w:p>
    <w:p w14:paraId="5B818E9D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снижение затрат на внеплановый и аварийный ремонт на 25–40 %;</w:t>
      </w:r>
    </w:p>
    <w:p w14:paraId="14491021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рост общей эффективности исполнения (</w:t>
      </w:r>
      <w:r>
        <w:t>OEI</w:t>
      </w:r>
      <w:r w:rsidRPr="004623AF">
        <w:rPr>
          <w:lang w:val="ru-RU"/>
        </w:rPr>
        <w:t>) с 20–30 % до 70–80 %;</w:t>
      </w:r>
    </w:p>
    <w:p w14:paraId="51FC7577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повышение производительности труда в организации на 20–25 %, при этом по отдельным действующим УК зафиксирован рост от 13 % до 62 %;</w:t>
      </w:r>
    </w:p>
    <w:p w14:paraId="5D3327E7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снижение жалоб жителей на 30–73 %;</w:t>
      </w:r>
    </w:p>
    <w:p w14:paraId="0E8EA250" w14:textId="77777777" w:rsidR="005747F9" w:rsidRPr="004623AF" w:rsidRDefault="00000000">
      <w:pPr>
        <w:spacing w:after="0"/>
        <w:ind w:left="425"/>
        <w:jc w:val="both"/>
        <w:rPr>
          <w:lang w:val="ru-RU"/>
        </w:rPr>
      </w:pPr>
      <w:r w:rsidRPr="004623AF">
        <w:rPr>
          <w:lang w:val="ru-RU"/>
        </w:rPr>
        <w:t>- сокращение времени сбора сводной отчётности для органов власти до 80 %.</w:t>
      </w:r>
    </w:p>
    <w:p w14:paraId="10F57EED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 xml:space="preserve">Экономический эффект для управляющей организации на примере 15 МКД составляет около 1,333 млн руб. годовой экономии, чистый эффект первого года — 712,5 тыс. руб., окупаемость единовременных затрат — около 1,5 месяца. Для органа власти расчёт выполнен по модели </w:t>
      </w:r>
      <w:r>
        <w:t>SaaS</w:t>
      </w:r>
      <w:r w:rsidRPr="004623AF">
        <w:rPr>
          <w:lang w:val="ru-RU"/>
        </w:rPr>
        <w:t xml:space="preserve"> для города с 500 МКД и 50 социальными объектами (всего 550 объектов): годовой эффект — 11,6 млн руб., затраты первого года — 10,7 млн руб., чистый эффект первого года — 900 тыс. руб., срок окупаемости — около 11 месяцев.</w:t>
      </w:r>
    </w:p>
    <w:p w14:paraId="351315DA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6. Инструменты бережливого производства.</w:t>
      </w:r>
    </w:p>
    <w:p w14:paraId="383A182C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В коробочном решении применяются картирование процесса, диаграмма «Спагетти», хронометраж рабочего времени, метод «5 почему», диаграмма Исикавы, стандартизированная работа, чек-листы, Канбан-доска, 5С, пока-</w:t>
      </w:r>
      <w:proofErr w:type="spellStart"/>
      <w:r w:rsidRPr="004623AF">
        <w:rPr>
          <w:lang w:val="ru-RU"/>
        </w:rPr>
        <w:t>ёке</w:t>
      </w:r>
      <w:proofErr w:type="spellEnd"/>
      <w:r w:rsidRPr="004623AF">
        <w:rPr>
          <w:lang w:val="ru-RU"/>
        </w:rPr>
        <w:t>, кайдзен и предложения по улучшению.</w:t>
      </w:r>
    </w:p>
    <w:p w14:paraId="27BE30DE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 xml:space="preserve">В маршруте Б эти инструменты используются для самостоятельной диагностики: выбора проблемной зоны, описания процесса, сбора фактических данных, поиска корневых причин, формирования целевого состояния, плана мероприятий и итогового решения. В маршруте А они используются для </w:t>
      </w:r>
      <w:r w:rsidRPr="004623AF">
        <w:rPr>
          <w:lang w:val="ru-RU"/>
        </w:rPr>
        <w:lastRenderedPageBreak/>
        <w:t>подготовки и настройки цифрового контура: паспортизации объектов, настройки показателей, регламентов, ролей, обучения пользователей, пилотной эксплуатации, оценки эффекта и решения о масштабировании.</w:t>
      </w:r>
    </w:p>
    <w:p w14:paraId="4665892B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7. Приложения и сопутствующие материалы.</w:t>
      </w:r>
    </w:p>
    <w:p w14:paraId="404C0C44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 xml:space="preserve">К финальной версии коробочного решения прилагаются материалы по двум маршрутам работы. Для маршрута А предусмотрены приложения А1–А9: паспорт объекта, карта </w:t>
      </w:r>
      <w:r>
        <w:t>KPI</w:t>
      </w:r>
      <w:r w:rsidRPr="004623AF">
        <w:rPr>
          <w:lang w:val="ru-RU"/>
        </w:rPr>
        <w:t xml:space="preserve">, методика расчёта </w:t>
      </w:r>
      <w:r>
        <w:t>OEI</w:t>
      </w:r>
      <w:r w:rsidRPr="004623AF">
        <w:rPr>
          <w:lang w:val="ru-RU"/>
        </w:rPr>
        <w:t>, руководства пользователей, регламент взаимодействия, отчёт о пилотном внедрении, материалы по эффектам и форма приказа. Для маршрута Б предусмотрены приложения Б1–Б14: дорожная карта диагностики и комплект форм по шагам 01–13 для выбора процесса, паспортизации, картирования, хронометража, анализа причин, целевого состояния, плана мероприятий, повторного замера и итогового отчёта.</w:t>
      </w:r>
    </w:p>
    <w:p w14:paraId="407F57C8" w14:textId="77777777" w:rsidR="005747F9" w:rsidRPr="004623AF" w:rsidRDefault="00000000">
      <w:pPr>
        <w:spacing w:before="120" w:after="0"/>
        <w:rPr>
          <w:lang w:val="ru-RU"/>
        </w:rPr>
      </w:pPr>
      <w:r w:rsidRPr="004623AF">
        <w:rPr>
          <w:b/>
          <w:lang w:val="ru-RU"/>
        </w:rPr>
        <w:t>8. Заключение.</w:t>
      </w:r>
    </w:p>
    <w:p w14:paraId="70576DA4" w14:textId="65C5153A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Финальное коробочное решение «</w:t>
      </w:r>
      <w:r w:rsidR="004623AF" w:rsidRPr="004623AF">
        <w:rPr>
          <w:lang w:val="ru-RU"/>
        </w:rPr>
        <w:t>Переход от реактивного к предиктивному управлению содержанием объектов ЖКХ на основе данных</w:t>
      </w:r>
      <w:r w:rsidRPr="004623AF">
        <w:rPr>
          <w:lang w:val="ru-RU"/>
        </w:rPr>
        <w:t xml:space="preserve">» позволяет внедрять цифровые инструменты не как отдельные сервисы, а как целевую модель управления процессом содержания объектов ЖКХ. Самостоятельная диагностика помогает подтвердить проблему фактами и подготовить требования к дальнейшим действиям, а цифровой контур закрепляет новый порядок работы через стандартизированные задания, фотофиксацию, </w:t>
      </w:r>
      <w:proofErr w:type="spellStart"/>
      <w:r w:rsidRPr="004623AF">
        <w:rPr>
          <w:lang w:val="ru-RU"/>
        </w:rPr>
        <w:t>дашборды</w:t>
      </w:r>
      <w:proofErr w:type="spellEnd"/>
      <w:r w:rsidRPr="004623AF">
        <w:rPr>
          <w:lang w:val="ru-RU"/>
        </w:rPr>
        <w:t>, автоматическую отчётность и прозрачную обратную связь для жителей и органов власти.</w:t>
      </w:r>
    </w:p>
    <w:p w14:paraId="6516328C" w14:textId="77777777" w:rsidR="005747F9" w:rsidRPr="004623AF" w:rsidRDefault="00000000">
      <w:pPr>
        <w:spacing w:after="0"/>
        <w:ind w:firstLine="709"/>
        <w:jc w:val="both"/>
        <w:rPr>
          <w:lang w:val="ru-RU"/>
        </w:rPr>
      </w:pPr>
      <w:r w:rsidRPr="004623AF">
        <w:rPr>
          <w:lang w:val="ru-RU"/>
        </w:rPr>
        <w:t>Решение обеспечивает переход от реактивного управления к планово-предупредительной модели, основанной на данных, повышает производительность труда, снижает операционные издержки и формирует проверяемую основу для доверия между управляющими организациями, органами власти и жителями.</w:t>
      </w:r>
    </w:p>
    <w:sectPr w:rsidR="005747F9" w:rsidRPr="004623AF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179705">
    <w:abstractNumId w:val="8"/>
  </w:num>
  <w:num w:numId="2" w16cid:durableId="1630815011">
    <w:abstractNumId w:val="6"/>
  </w:num>
  <w:num w:numId="3" w16cid:durableId="1828396347">
    <w:abstractNumId w:val="5"/>
  </w:num>
  <w:num w:numId="4" w16cid:durableId="1196113143">
    <w:abstractNumId w:val="4"/>
  </w:num>
  <w:num w:numId="5" w16cid:durableId="574827229">
    <w:abstractNumId w:val="7"/>
  </w:num>
  <w:num w:numId="6" w16cid:durableId="769665756">
    <w:abstractNumId w:val="3"/>
  </w:num>
  <w:num w:numId="7" w16cid:durableId="765732481">
    <w:abstractNumId w:val="2"/>
  </w:num>
  <w:num w:numId="8" w16cid:durableId="2145585504">
    <w:abstractNumId w:val="1"/>
  </w:num>
  <w:num w:numId="9" w16cid:durableId="160714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3AF"/>
    <w:rsid w:val="005747F9"/>
    <w:rsid w:val="00AA1D8D"/>
    <w:rsid w:val="00B47730"/>
    <w:rsid w:val="00C575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47B1E"/>
  <w14:defaultImageDpi w14:val="300"/>
  <w15:docId w15:val="{B4D16BF5-25BF-4F62-ABD5-C24BE18C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Svetlana</cp:lastModifiedBy>
  <cp:revision>2</cp:revision>
  <dcterms:created xsi:type="dcterms:W3CDTF">2013-12-23T23:15:00Z</dcterms:created>
  <dcterms:modified xsi:type="dcterms:W3CDTF">2026-09-20T20:16:00Z</dcterms:modified>
  <cp:category/>
</cp:coreProperties>
</file>